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6E" w:rsidRPr="0026696E" w:rsidRDefault="0026696E" w:rsidP="00EF184E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bookmarkStart w:id="0" w:name="_GoBack"/>
      <w:bookmarkEnd w:id="0"/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ИНФОРМАЦИЈА 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ДРУГОМ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ЈАВНОМ СЛУШАЊУ</w:t>
      </w:r>
    </w:p>
    <w:p w:rsidR="0026696E" w:rsidRPr="0026696E" w:rsidRDefault="0026696E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ОДБОРА ЗА ЗАШТИТУ ЖИВОТНЕ СРЕДИНЕ НА ТЕМУ: </w:t>
      </w:r>
    </w:p>
    <w:p w:rsidR="0026696E" w:rsidRPr="0026696E" w:rsidRDefault="0026696E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„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СИСТЕМСКА РЕШЕЊА У ЖИВОТНОЈ СРЕДИНИ </w:t>
      </w:r>
    </w:p>
    <w:p w:rsidR="0026696E" w:rsidRPr="0026696E" w:rsidRDefault="0026696E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СРБИЈА 2017-2027 – ДЕФИНИСАЊЕ ПРОБЛЕМА</w:t>
      </w:r>
      <w:r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“,</w:t>
      </w:r>
    </w:p>
    <w:p w:rsidR="0026696E" w:rsidRPr="0026696E" w:rsidRDefault="0026696E" w:rsidP="0026696E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ОДРЖАНОМ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4</w:t>
      </w:r>
      <w:r w:rsidRPr="0026696E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. НОВЕМБРА 2016. ГОДИНЕ</w:t>
      </w:r>
      <w:r w:rsidRPr="002669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26696E" w:rsidRPr="0026696E" w:rsidRDefault="0026696E" w:rsidP="0026696E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26696E" w:rsidRPr="0026696E" w:rsidRDefault="0026696E" w:rsidP="0026696E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Одбор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 заштиту животне средине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је, на основу одлуке донете на Другој седници, одржаној 20. октобра 2016. године, дана 1</w:t>
      </w:r>
      <w:r w:rsidR="004B1A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новембра 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2016. године</w:t>
      </w:r>
      <w:r w:rsidR="001B38E3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одржао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Друго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јавно слушање на тему: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„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uz-Cyrl-UZ" w:eastAsia="ar-SA"/>
        </w:rPr>
        <w:t>Системска решења у животној средини – Србија 2017-2027 – дефинисање проблема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ˮ</w:t>
      </w:r>
      <w:r w:rsid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уз подршку УНДП-а.</w:t>
      </w:r>
      <w:r w:rsidR="004B1AE3" w:rsidRPr="004B1AE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Јавно слушање је почело у 11,00 часова.</w:t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Јавном слушању су присуствовали: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др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Бранислав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Блажић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председник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Одбора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чланови Одбора: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Ивана Николић, Борка Грубор, </w:t>
      </w:r>
      <w:r w:rsidR="003860AF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Радослав Цокић, Иван Карић,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Јасмина Каранац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замени</w:t>
      </w:r>
      <w:r w:rsidR="003860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члан</w:t>
      </w:r>
      <w:r w:rsidR="003860A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Одбора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Предраг Јеленковић.</w:t>
      </w:r>
    </w:p>
    <w:p w:rsidR="0026696E" w:rsidRPr="0026696E" w:rsidRDefault="0026696E" w:rsidP="00266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573B78" w:rsidRDefault="0026696E" w:rsidP="00A531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Учесници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јавног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слушања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,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били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представници Министарства пољопривреде и заштите животне средине: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Александар Весић и Жељко Пантелић, помоћници министра; Филип Радовић, директор Агенције за заштиту животне средине</w:t>
      </w:r>
      <w:r w:rsidR="0098444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Небојша Реџић, начелник Одељења</w:t>
      </w:r>
      <w:r w:rsidR="0088149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за информациони систем и индустријско и комунално загађивање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Нада Милојевић,</w:t>
      </w:r>
      <w:r w:rsidR="000A6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674E6" w:rsidRP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самостални саветник у Сектору буџета</w:t>
      </w:r>
      <w:r w:rsidR="003674E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Министарству финансија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3F4A8F" w:rsidRP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Јованка Арсић Каришић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3F4A8F" w:rsidRP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NVO Build Energy Team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Јелена Плавански, руководилац у Привредној комор</w:t>
      </w:r>
      <w:r w:rsidR="003F4A8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-Центар за екологију; Душан Вишњић, менаџер „Инос Балкан“ Ваљево; Ана Петровић Вукићевић, председница Удружења рециклера Србије; Сандра Камберовић, генерални секретар удружења Индустрија отпада Србије „Храбри чистач“; Александар Ћирић, одговорна особа за управљање отпадом,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„Medical wave“;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Радомир Стевановић, помоћник директора РЕЦ Еко Тамнава Уб; Ласло Вадлеве, представник удружења „Гардош“; Огњан Пантић, асистент у Београдској отвореној школи; Софи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Кекић, председница Центра за истраживачке и развојне пројекте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Даница Дабић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„Remondis Medison“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д.о.о.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Невена Чолић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„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Митеко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“ 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Кнежевац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;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Мирослав Познић, директор продаје и маркетинга и Бојан Сударев, извршни директор; Небојша Вранеш, удружење „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Zerowaste“; 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Национална асоцијација чистоћа Србије: Братислав Вучковић, Горан Симовић и Валентина Николић; Удружење ласер тонер рециклера Србије: Тони Гоља и Братислав Благојевић; Звездарски еколошки центар: Биљана Пантели</w:t>
      </w:r>
      <w:r w:rsidR="006D0B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ћ</w:t>
      </w: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Валентина Ђурета, координаторка алумни програма у Београдском фонду за политичку изузетност; Милош Тодоровић, генерални секретар Удружења за амбалажу и заштиту животне средине СЕПЕН; 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Милица Митровић,</w:t>
      </w:r>
      <w:r w:rsidR="000A6F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асистент директора</w:t>
      </w:r>
      <w:r w:rsid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969ED" w:rsidRP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Пословно удружење цементна индустрија Србије</w:t>
      </w:r>
      <w:r w:rsidR="00A969E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0B2FE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Александар Антонијевић</w:t>
      </w:r>
      <w:r w:rsidR="00F07E6B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0B2FE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F07E6B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Милица Милосављевић, Славиша Стојановић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Тони Петровић, Бранкица</w:t>
      </w:r>
      <w:r w:rsidR="00693974" w:rsidRPr="00693974">
        <w:t xml:space="preserve"> </w:t>
      </w:r>
      <w:r w:rsidR="00693974" w:rsidRP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Ристић, Тања Игњатовић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Јована Војиновић,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дипл.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инж.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заштите животне средине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Хигиа д.о.о.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Биљана Леденичан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Стеван Вујасиновић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</w:t>
      </w:r>
      <w:r w:rsidR="000B2FE4" w:rsidRP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Марковић Момира</w:t>
      </w:r>
      <w:r w:rsidR="000B2FE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УНДП;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Љубомир Илкић,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зам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еник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директора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Данијел Бероња,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менаџер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="00A531EF" w:rsidRP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Brantner отпадна привреда д.о.о.</w:t>
      </w:r>
      <w:r w:rsidR="00A531EF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; 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Лазар Крњета,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извршни директор</w:t>
      </w:r>
      <w:r w:rsid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F07E6B" w:rsidRPr="00F07E6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ПУ Комдел</w:t>
      </w:r>
      <w:r w:rsidR="0069397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Нина Степић, Зелени Србије.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Др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Бранислав Блажић, председник Одбора, у уводним напоменама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ахвалио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е свима који су након претходног, првог јавног слушања, дали одређене сугестије и писаним путем доставили дефинисане проблеме.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Истакао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је циљ овог јавног слушања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дефинисање проблема у области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управљања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опасн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им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отпад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ом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Републици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Србији.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дискусији су учествовали: Бојан Сударев, Сандра Камберовић, Софи Кекић, Невена Чолић Мохора, Александар Антонијевић, Лазар Крњета, Александар Ћирић, Борка Грубор, Жељко Пантелић, Јелена Плавански и Јована Војиновић.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Бојан Сударев, извршни директор компаније Ремондис Медисон д. о. о, 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упознао је присутне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чиме се бави компанија, чији је представник, указавши на то да је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тренутно једини оператер на тржишту из приватног сектора са важећом дозволом за третман </w:t>
      </w:r>
      <w:r w:rsidR="000C020D" w:rsidRPr="000C020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инфективног медицинског отпада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proofErr w:type="gramEnd"/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Говорећи о дозволама за третман инфективног медицинског отпада, навео је да је у Србији издато 46 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дозвола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индексног броја 180103 са звездицом, осам је издатих дозвола из ветеринарске медицине и три за третман крви и крвних деривата, од чега су две неактивне (трећа је дозвола компаније Ремондис Медисон).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Рекао је да се</w:t>
      </w:r>
      <w:r w:rsidR="000C02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према незваничној процени, на тржишту Републике Србије годишње генерише пет хиљада тона инфективног медицинског отпада.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2015.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години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је (према податку Агенције за заштиту животне средине), третирано близу две и по хиљаде тона, тј. </w:t>
      </w:r>
      <w:r w:rsidR="00787C5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 тона у државном сектору и 300 тона у постројењу ове компаније.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</w:t>
      </w:r>
      <w:r w:rsidR="00787C5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7C5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 питање где је завршило преосталих </w:t>
      </w:r>
      <w:r w:rsidR="00787C5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2500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тона, које се не налазе ни у једном званичном податку.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Капацитет дозвола постоји, као и технологија, па је питање зашто је третирано само 50% овог отпада на тржишту.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Сп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оменуо је пројекат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који је започет 2005.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године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настављен је 2008.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2009. године, а односи се на збрињавање инфективног медицинског отпада у државним здравственим установама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наводећи да је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био успешан с аспекта подизања система третмана овог отпада од нуле, али се поставља питање да ли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је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ком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 државне здравствене установе претворене у опер</w:t>
      </w:r>
      <w:r w:rsidR="000A6F4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тере инфективног отпада, и најбољи систем.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Указао је на то да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је тренутно стање на тржишту, са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аспекта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безбедности кретања овог отпада,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веома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проблематично,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јер га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половина установа или уопште не третира, или га третира само делимично.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 друге стране, ради се комерцијално збрињавање овог отпада у здравственим установама, што представља још један од проблема, који се тиче и јавних набавки.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Осим тога, проблем представља и начин на који се врши надокнада у финансијском систему збрињавања отпада.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Наиме, постоји централно место третмана, то је установа која третира инфективни отпад и добија новац за одређену количину третираног отпада, док установа која нема систем третмана овог отпада, предаје свој отпад централном месту третмана и за то плаћа, иако установа за то већ добија средства из фонда.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Дакле, централно место добија новац два пута за исту ствар, само кроз различите токове.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Скренуо је пажњу и на проблем инспекцијског надзора, с обзиром на то да део здравстевних установа овај отпад не третира у складу са Законом и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Правилником. </w:t>
      </w:r>
      <w:r w:rsidR="007663E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Истакао је да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Србији не постоји регистар генератора инфективног отпада, тј.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тачан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број установа и ординација које га производе, па би овај први корак што пре требало учинити.</w:t>
      </w:r>
    </w:p>
    <w:p w:rsidR="00EF184E" w:rsidRPr="00EF184E" w:rsidRDefault="007663E2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Сандра Камберовић, генерални секретар удружења Храбри чистач, истакла је да је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основу листе приоритета Министарства, проблем управљања отпадом на другом месту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да се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нада да ће проблеми који се овде у вези са тим износе, допринети бољој имплементацији и сврсисходнијем управљању отпадом. 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Навела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је да је ово удружење, које је и чланица Међународне организације приватне индустрије оптада (ФЕАД), идентификовало циљеве за наредни период: пословање у складу с ЕУ прописима, повећање имплементације и спровођења прописа, пословање у складу са новим политикама ЕУ (тзв. циркуларна економија) и сузбијање нелојалне конкуренције.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вези са тим је изнела и предлог да се утврди платформа за даљи конструктивни дијалог са доносиоцима одлука, за унапређење система управљања отпадом.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Наиме, у најновијем извештају Европске комисије за Поглавље 27, уочено је да је боље планирање неопходно, као и да се Република Србија, кад је у питању усаглашавање прописа, налази на самом почетку.</w:t>
      </w:r>
      <w:proofErr w:type="gramEnd"/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ишчекивању 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да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тзв.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</w:t>
      </w:r>
      <w:r w:rsidR="008F1BA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фонд 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почне са радом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јануара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2017.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године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изразила је забринутост због чињенице да још увек није постављен јасан и прецизан план наменског трошења средстава из овог фонда у наредној години. С обзиром на то да ће средствима из фонда управљати Министарство, удружење Храбри чистач предлаже да у складу са преузетим међународним обавезама и усвојеним националним документима, буџет у области заштите животне средине буде планиран у висини од 50 милиона евра, од чега је само у наредној години неопходно издвојити 70% одобрених средстава за проблем решавања историјског загађења и санацију депонија. </w:t>
      </w:r>
      <w:r w:rsidR="0003394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Истакла је да је то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обавеза Републике Србије која се не може финансирати из средстава ЕУ, донација или додатних средстава, већ сопственим средствима, из буџета или кредита, а рок за решавање овог великог проблема је 2020.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година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вези са тим је поставила питање када би могла да се очекује </w:t>
      </w:r>
      <w:r w:rsidR="003D665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коначна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листа загађених </w:t>
      </w:r>
      <w:r w:rsidR="003D665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локација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Подсетила је 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 то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 је у Истанбулу ове године одржан 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онгрес о земљишту, на ком је учествовала и наша земља.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Тада је састављен извештај са донетим закључцима, као и акциони план за решавање проблема загађеног земљишта.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Према информацијама објављеним на сајту Агенције за заштиту животне средине, 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наведено је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 су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кроз радове учесника</w:t>
      </w:r>
      <w:r w:rsidR="006103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представљени резултати, добијени анализама на основу катастра контаминираних локација.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овом питању се ради и кроз УНЕП пројекат, а процењено је да има 350 локација и да је потребно предузети хитне мере дијагностике деконтаминације земљишта.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Поставила је питање докле је пројекат стигао, као и када ће бити готов акциони план за санацију загађених подручја.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</w:t>
      </w:r>
      <w:r w:rsidR="008F1BA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кође је поставила питање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шта се дешава са локацијама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којима је извршено чишћење историјског отпада, односно на којима је отпад у претходном периоду прикупљан, али на њима није извршено испитивање контаминације земљишта. 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Указала је на то да је </w:t>
      </w:r>
      <w:r w:rsidR="009A3642" w:rsidRP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један од резултата Твининг пројекта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Предлог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плана за интегрисано управљање опасним отпадом, 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 поставила питање када ће тај план бити донет, али и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због чега нису поштоване препоруке 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ПЛАЦ пројекта, који је био у току у време израде измена и допуна Закона о управљању отпадом.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вези са тим је поставила питање по ком критеријуму је за доношење подзаконских аката остављен рок од годину дана.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Подсетила је да се надлежно Министарство обавезало да ће до краја године донети кључне подзаконске акте, неопходне за по</w:t>
      </w:r>
      <w:r w:rsidR="009A3642">
        <w:rPr>
          <w:rFonts w:ascii="Times New Roman" w:eastAsia="Times New Roman" w:hAnsi="Times New Roman" w:cs="Times New Roman"/>
          <w:sz w:val="24"/>
          <w:szCs w:val="24"/>
          <w:lang w:eastAsia="ar-SA"/>
        </w:rPr>
        <w:t>бољшање имплементације прописа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што није учињено.</w:t>
      </w:r>
      <w:proofErr w:type="gramEnd"/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вези с издатим дозволама је питала када ће Министарство започети њихову ревизију, што је такође у обавези на основу последњих измена и допуна Закона да уради што пре.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Даље је занимало када се може очкивати доношење 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равилника о класификацији оператера и да ли се очекује да административна реформа ускоро буде завршена.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вези са тим је подсетила да постоје препоруке за административне реформе, израђене 2011.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године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 оквиру којих су надлежности Инспекције Министарства и Агенције другачије делегиране, али из политичких разлога још увек нису спроведене.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Поставила је питање због чега се чека с израдом </w:t>
      </w:r>
      <w:r w:rsidR="009A364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равилника за управљање медицинским и фармацеутским отпадом, као и када ће започети имплементација института продужене одговорности произвођача, који није законска новина, али нигде није прецизиран модел примене овог инсититута.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продужене одговорности произвођача не подразумева колективног оператера, већ су у питању два различита института и система.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Стога је замолила да надлежни органи о овоме отворе дискусију.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Скренула је пажњу и на важно питање начина и временског периода решавања проблема јестивог уља и његовог третмана.</w:t>
      </w:r>
      <w:proofErr w:type="gramEnd"/>
      <w:r w:rsidR="00EF184E"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Софи Кекић, председница Центра за истраживачке и развојне пројекте Еко Дев, рекла је да је у Извештају Европске комисије јасно исказано где је потребно да се Србија ухвати у коштац са проблемима у погледу имплементације закона усклађених са ЕУ.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Навела је да је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потребно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побољшати рокове у вези са директивом о депонијама, рециклажи и сл.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применити друге моделе финансирања. У вези с тим, требало би расписати међународни тендер за санацију депонија по Србији, са нагласком на гасификацији за онај део отпада који не може поново да се искористи, a који би требало користити за производњу топлотне и електричне енергије, додајући тиме значајан електроенергетски капацитет Србији, који би био финансиран углавном из приватних извора.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Овим би се скратило време имплементације и добиле би се технологија и експертиза у складу са ЕУ стандардима, а квалитет човекове околине у Србији би био знатно побољшан.</w:t>
      </w:r>
      <w:proofErr w:type="gramEnd"/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складу са извештајем ЕУ за Србију за 2016.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годину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истакла је  важност брзог ратификовања Париског споразума о климатским променама, чиме бисмо добили приступ фондовима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који финансирају секторе ублажавања климатских промена и могли бисмо да инвестирамо у неопходну опрему и процесе за мерење квалитета ваздуха, чистоће отпадних вода итд.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Као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главне проблеме 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навела је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имплементацију и неискоришћеност доступних фондова за те намене. 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Истакла је да би т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ребало појачати капацитет државних институција на свим нивоима, како би се спровело 300 директива у овој области.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нивоу државе би требало образовати тело који би имало задатак да пише пројекте за ову област, конкурише код фондова и најважније – тело које би знало да имплеметира добијене пројекте.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ту сврху се могу користити научне институције, којe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имају око 3000 истраживача и 310 еколошких невладиних организација, као и домаће експерте у приватном сектору и у дијаспори, aли  и друге стране експерте у овој области. Истакла је важност макроекономских показатеља у области екологије и интегрисање тих података у националну статистику, ради бољег успостављања развојне политике циркуларне економије Републике Србије. Нагласила је да Србија не треба да буде „dumping ground” за застарелу технологију страних инвеститора и ниске еколошке стандарде.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Напротив, технологија која се примењује у области заштите животне средине, a поготово за управљање опасним отпадом и спречавање загађења воде и ваздуха, треба да буде у складу са стандардима ЕУ.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Нагласила је да то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треба безусловно захтевати од свих инвеститора, било из ЕУ или не.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Уколико ови захтеви не буду примењени, вишеструко ћемо платити кроз угрожено здравље људи, девастацију и депопулизацију индустријских региона.</w:t>
      </w:r>
      <w:proofErr w:type="gramEnd"/>
      <w:r w:rsidR="008B5D0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Нагласила је да сви наведени коментари, који се односе на неопходна побољшања, треба да буду уврштени у предстојећи </w:t>
      </w:r>
      <w:r w:rsidR="00E713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кциони план за Поглавље 27, који треба да буде основни стратешки документ за ову област, базиран на </w:t>
      </w:r>
      <w:r w:rsidR="00E713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остскрининг документу.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7131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Истакла је да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 циљ треба да буде отварање Поглавља 27 што пре, као и израда квалитетног акционог плана, а такође и његово затварање у разумном року, како бисмо обезебедили привредни раст и бољу животну средину за грађане Србије. Квалитетна животна средина, чисте реке, чист ваздух и околина без депонија, нису споредно, већ фундаментално питање за будућност државе и њен дугорочни напредак. </w:t>
      </w:r>
    </w:p>
    <w:p w:rsidR="00672273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Невена Чолић Мохора, директорка предузећа Митеко Кнежевац, које је оператер за управљање опасним индустријским отпадом, осврнула се на уклањање </w:t>
      </w:r>
      <w:r w:rsidR="003D7ED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отпада из окружења.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Најновијим изменама и допунама Закона о управљању отпадом, дефинисано је да у 2017.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години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треба да буде израђен план замене уређаја, а 2019.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године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уклањања или деконтаминације контаминираних уређаја и оних који садрже </w:t>
      </w:r>
      <w:r w:rsidR="003C2D21" w:rsidRPr="003C2D21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Овим је заокружено поступање </w:t>
      </w:r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са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опремом, али није </w:t>
      </w:r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дотакнуто питање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историјско</w:t>
      </w:r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загађењ</w:t>
      </w:r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односно план санације локација контаминираних </w:t>
      </w:r>
      <w:r w:rsidR="003C2D21" w:rsidRPr="003C2D21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уљем, током експлоатације електроенергетских постројења.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вези са тим је поставила питање када ће бити усвојен </w:t>
      </w:r>
      <w:r w:rsidR="003C2D2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ационални имплементациони план за спровођење Стокхолмске конвенције за управљање дуготрајним органским загађујућим материјалима, која обухвата и управљање </w:t>
      </w:r>
      <w:r w:rsidR="003C2D21" w:rsidRPr="003C2D21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отпадом.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Такође, занимало је када ће се и на који начин извршити мапирање локација загађених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отпадом, с акцентом на неенергетском сектору.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Истакла је да је неопходно новим прописима ближе дефинисати критеријуме за деконтаминацију уређаја контаминираних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-ом, или оних који га садрже, раздвајајући тиме процедуру поступања с уређајима намењеним за враћање у погон и експлоатацију до краја животног века и за оне уређаје за које је планирана рециклажа, тј.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демонтажа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разврставање и поновна употреба материјала. </w:t>
      </w:r>
      <w:r w:rsidR="008B73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Навела је да у</w:t>
      </w:r>
      <w:r w:rsid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 смислу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постоји потреба и за преиспитивање</w:t>
      </w:r>
      <w:r w:rsidR="008B73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тренутно актуелних технологија на домаћем тржишту, а на основу којих су издате дозволе одређеним оператерима, који се баве деконтаминацијом уређаја ради рециклаже.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вези са тим је поставила питање на који начин се врши контрола њихове технике, као и квалитета материјала који излазе из њихових производних процеса.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Истакла је да се н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ачином 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>који је тренутно у пракси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даје легитимитет разблаживању концентрације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-а у излазним сировинама, па ћемо у перспективи имати проблем присуства </w:t>
      </w:r>
      <w:r w:rsidR="008B7336" w:rsidRPr="008B7336">
        <w:rPr>
          <w:rFonts w:ascii="Times New Roman" w:eastAsia="Times New Roman" w:hAnsi="Times New Roman" w:cs="Times New Roman"/>
          <w:sz w:val="24"/>
          <w:szCs w:val="24"/>
          <w:lang w:eastAsia="ar-SA"/>
        </w:rPr>
        <w:t>PCB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-а у различитим производима, као што су пластична амбалажа, играчке и сл. </w:t>
      </w:r>
    </w:p>
    <w:p w:rsidR="00EF184E" w:rsidRPr="00EF184E" w:rsidRDefault="00EF184E" w:rsidP="001B665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Александар Антониј</w:t>
      </w:r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>евић из Покрета зелених „Бреза</w:t>
      </w:r>
      <w:proofErr w:type="gramStart"/>
      <w:r w:rsidR="00994C2B">
        <w:rPr>
          <w:rFonts w:ascii="Times New Roman" w:eastAsia="Times New Roman" w:hAnsi="Times New Roman" w:cs="Times New Roman"/>
          <w:sz w:val="24"/>
          <w:szCs w:val="24"/>
          <w:lang w:eastAsia="ar-SA"/>
        </w:rPr>
        <w:t>“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осврнуо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 на штетно уклањање животињских остатака, с обзиром на то да на територији Републике Србије нема адекватно решеног постројења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кој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би отпад животињског порекла могао 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адекватно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третирати. </w:t>
      </w:r>
      <w:r w:rsidR="00994C2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Навео је да се у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Србији дневно ствара око 500 тона отпада животињског порекла, што на годишњем нивоу износи око 180 </w:t>
      </w:r>
      <w:r w:rsidR="00F064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000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тона, од чега је око 60 тона најризичнијег, зараженог животињског отпада.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 представља велики проблем, јер може довести до ширења епидемија.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64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Истакао је да п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остоје три категорије животињског отпада: лешеви паса и мачака луталица, циркуских животиња, </w:t>
      </w:r>
      <w:r w:rsidR="00A33A5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животиња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коришћених у лабораторијама и дивљих животиња, затим, лешеви потенцијално оболелих животиња и кланични отпад и лешеви здравих животиња.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Прва и друга категорија, у складу са регулативом ЕУ, морају се уништавати спаљивањем.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Једино решење је спалионица и то она која ће вршити третман на температурама од 1200 до 1600 степени.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Ове температуре минимално утичу на загађење ваздуха, а уз одговарајуће филтере готово да и нема загађења.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Навео је да је </w:t>
      </w:r>
      <w:r w:rsidR="00EC6101" w:rsidRPr="00EC61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Покрета зелених „Бреза“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имао пројекат, који је </w:t>
      </w:r>
      <w:r w:rsidR="00EC610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био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препознат као добро решење и на основу ког је требало да буде изграђена спалионица у Крагујевцу, међутим, новац је преусмерен и до изградње није дошло.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Подсетио је да су кланице и индивидуална газдинства по закону у обавези да уништавају животињски отпад.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Међутим, он код нас завршава на сметлиштима, у цементарама и адекватан третман готово да не постоји.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Иако спалионице представљају скупо решење, новац уложен у њихову изградњу би се вратио у року од 6 до 10 година, што значи да би истовремено адекватно био решен проблем отпада и </w:t>
      </w:r>
      <w:r w:rsidR="001B665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остварио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профит, па ово не би представљало оптерећење за буџет.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Истакао је да би се спалионицама </w:t>
      </w:r>
      <w:r w:rsidR="001B665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решило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питање уништавања појединог медицинског отпада, као и хране којој је истекао рок.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Осим тога, спалионице дају одређене производе, нпр.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топлу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воду, пепео који се касније може кориситити у грађевинарству итд. </w:t>
      </w:r>
    </w:p>
    <w:p w:rsidR="00B82811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Лазар Крњета, извршни директор ПУ Комдел, рекао је да основни проблем представља то што посебни токови отпада заправо немају свој ток, већ се опасни отпад меша са комуналним и комерцијалним отпадом.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Стога је неопходно увести превентивне мере, како би се ово „мешање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“ што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више смањило. </w:t>
      </w:r>
    </w:p>
    <w:p w:rsidR="00EF184E" w:rsidRPr="00EF184E" w:rsidRDefault="00EF184E" w:rsidP="00BE46B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Александар Ћирић, особа одговорна за управљање отпадо</w:t>
      </w:r>
      <w:r w:rsidR="00B36DDF">
        <w:rPr>
          <w:rFonts w:ascii="Times New Roman" w:eastAsia="Times New Roman" w:hAnsi="Times New Roman" w:cs="Times New Roman"/>
          <w:sz w:val="24"/>
          <w:szCs w:val="24"/>
          <w:lang w:eastAsia="ar-SA"/>
        </w:rPr>
        <w:t>м у компанији „Medical wave“ д.о.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о, која се бави збрињавањем опасног медицинског инфективног отпада, рекао је да је у погледу управљања инфективним отпадом, од 2008.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године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много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урађено, пре свега залагањем свих субјеката у овој области.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Највише је помака било у информисању, тј.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едукацији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правилном разврставању инфективног отпада на самом месту настанка, примени специјалне амбалаже која се користи за сегрегацију, вођењем евиденције и извештавањем надлежним органима итд.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Међутим, да би систем био комплетан и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ефикасан, у наредном периоду би посебно требало обратити пажњу на третирање прикупљеног инфективног отпада.</w:t>
      </w:r>
      <w:proofErr w:type="gramEnd"/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оквиру правилног збрињавања овог отпада, 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неопходно је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 у наредном периоду дође до система децентрализованог третмана (што је у супротности са Националном стратегијом из 2010. године, која предв</w:t>
      </w:r>
      <w:r w:rsidR="00B133FD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ђа централно место третман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односно спалионицу).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 децентрализованог третмана би био у складу са тренутним стањем у земљи, а поготово би се поклопио са начелом близине третмана (које се налази у Закону о управљању отпадом).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Наиме, инфективни отпад је специфичан и услед честог и редовног прикупљања, у зависности од спољне температуре ваздуха, потребно га је збринути у року од 24 сата до пет дана од тренутка настанка.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Неопходан је што краћи транспорт, како би се избегли инциденти.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Оно што је важно истаћи је да у Србији постоји велики број генератора овог отпада, али у малим количинама на дневном нивоу.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Нагласио је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 закони и подзаконски акти морају бити исти за све оператере који врше третман, без обзира на то д</w:t>
      </w:r>
      <w:r w:rsidR="00BE46B1">
        <w:rPr>
          <w:rFonts w:ascii="Times New Roman" w:eastAsia="Times New Roman" w:hAnsi="Times New Roman" w:cs="Times New Roman"/>
          <w:sz w:val="24"/>
          <w:szCs w:val="24"/>
          <w:lang w:eastAsia="ar-SA"/>
        </w:rPr>
        <w:t>а ли су у питању државни органи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приватни сектор.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 стриктном и директном применом прописа и произвођача и оператера, могу се обезбедити очување животне средине и здравље људи.</w:t>
      </w:r>
      <w:proofErr w:type="gramEnd"/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Истакао је да је н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ајболнија тачка у решавању овог система цена.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Наиме, највећи произвођачи овог отпада су здравствене установе, па је неопходно обезбедити да на целој територији Србије постоји јединствена цена третмана.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Рекао је да је неопходно да се оформи групација која би чинила оператере за третман инфективног отпада у Републици Србији, а било би добро да она буде у оквиру Привредне коморе Србије, где већ постоје групације које се баве збрињавањем других врста отпада.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Групацију би чинили оператери чије би дозволе по савременим технологијама задовољиле смањење степена инфективности, тј.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бактеријску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контаминацију отпада довеле на стерилизацијски степен сигурности.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би систем био успешан, он мора да буде и транспарентан, па би стога оператери требало редовно да воде дневне документације.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Осим тога, макар једном у шест месеци би требало да имају позитиван записник надлежне иснпекције о квалитету третмана.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Такође, да би систем био одржив, требало би да цена буде задовољавајућа и за генератора, тј.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произвођача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отпада, али и за оператера који га збрињава.    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Борка Грубор, члан Одбора, рекла је да долази из Лознице, града који има проблем с опасним хемијским материјама.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Наиме, у објектима бивше фабрике аутотракторских кочница, у близини центра града, налази се 75 тона цијанидних соли, заосталих из процеса производње у време када је фабрика радила.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питању је опасан канцерогени отпад, који је још 2009.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године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 оквиру акције „Очистимо Србију“), спакован у пластичну фолију и металну бурад.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Прети опасност да амбалажа, чији је рок у међувремену истекао, више не обезбеђује цијанидне соли да не дођу у контакт с околином.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Бивша фабрика је сад у приватном власнисштву, не чува се, нити је магацин у ком се налази овај отпад обезбеђен.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претходном периоду је инспекција више пута писала пријаве за привредни преступ и прекршај, а власник је по њима кажњаван, међутим, проблем и даље постоји.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обзиром на то да хемијске особине цијанидних соли, као и овакав начин складиштења,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представљају велику еколошку опасност, апеловала је за помоћ надлежним институцијама, како би оне биле дислоциране и неутрализоване.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Жељко Пантелић, помоћник министра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пољопривреде и заштите животне средине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 вези са претходном дискусијом је рекао да главни проблем представља то што се објекат налази у власништву приватника, тако да се не може третирати као историјско загађење, што би иначе било на држави да реши. </w:t>
      </w:r>
      <w:r w:rsidR="00BE46B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Навео је да је, н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ажалост, ово чест случај у Србији – да приватник купи фирму, заједно с опасним отпадом, а да уопште не буде настављена делатност која се ту раније обављала.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Отпад је и даље ту ускладиштен, инспекција новом власнику налаже шта је потребно да уради, пријаве се споро процесуирају и све се врти у зачараном кругу, а ништа се заиста не предузима.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Стога је приликом доношења законских прописа, неопходно уврстити реалне и конкретне ситуације, нпр.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приморати новог власника да обави и плати уклањање отпада.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супротном, овај и слични проблеми ће наставити да постоје и да угрожавају животну средину и здравље људи.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Јована Војиновић из фирме Хигиа д.о.о, сложила се да је у поступку приватизације било много оваквих случајева, чак постоје локације на којима су ускладиштене мање количине отпада, које још увек нико није ни приметио, или инспекцијски надзор није исправно обављен.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Такође, много је компанија којима је прошао рок од годину дана од дана настанка отпада, у ком су дужне да га уклоне.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Стога је поставила питање када ће се нешто урадити по овом питању.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обзиром на недовољан број инспектора, можда би требало укључити и инспекторе из региона у вршењу инспекцијских надзора.</w:t>
      </w:r>
      <w:proofErr w:type="gramEnd"/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Поменула је и проблем контаминиране амбалаже, начин њеног третмана и питала да ли и на који начин се врши контрола крајњег производа, с обзиром на то да се она након деконтаминације користи као секундарна сировина у коју се пакују прехрамбени производи и сл.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Имајући у виду то да постоји регистар издатих дозвола, рекла је да би било добро када би постојао и регистар одузетих дозвола (на сајту Агенције или Министарства), с обзиром на то да клијенти ове фирме често добијају решења од оператера чије дозволе више нису валидне, или не постоји увид у читав обим дозволе оператера (нпр. или за складиштење, или за третман итд.).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Скренула је пажњу и на питање контаминираних амбалажа из пољопривреде.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обзиром на то да постоји препорука произвођача пестицида, хербицида итд, поставила је питање на који начин се утврђује да је у питању неопасан отпад.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Ако се има у виду да су често у питању мали пољопривредни произвођачи који имају проблем са збрињавањем контаминиране амбалаже, што притом кошта, поставља се питање где тај отпад завршава (а најчешће је то на њивама и другим неадекватним локацијама).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Јелена Плавански, руководилац Центра за екологију у Привредној комори Београда, поводом дискусије Александра Ћирића из компаније „Medical wave“, рекла је да у Привредној комори Србије постоји групација која обухвата фармацеутску индустрију и институције из области медицине. 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Предложила је да ова компанија ступи у контакт са том групацијом, како би заједно започели решавање проблема у области отпада, што би свима ишло у корист.</w:t>
      </w:r>
      <w:proofErr w:type="gramEnd"/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Председник </w:t>
      </w:r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Одбора 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је свима захвалио на дискусији којом је отворен низ интересантних питања, што ће бити од велике користи п</w:t>
      </w:r>
      <w:r w:rsidR="002D5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риликом предлагања </w:t>
      </w:r>
      <w:proofErr w:type="gramStart"/>
      <w:r w:rsidR="002D5F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решења  </w:t>
      </w:r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дефинисаних</w:t>
      </w:r>
      <w:proofErr w:type="gramEnd"/>
      <w:r w:rsidR="002D5F5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проблема</w:t>
      </w: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</w:t>
      </w:r>
    </w:p>
    <w:p w:rsidR="00EF184E" w:rsidRPr="00EF184E" w:rsidRDefault="00EF184E" w:rsidP="00EF184E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Јавно слушање је завршено у 12</w:t>
      </w:r>
      <w:proofErr w:type="gramStart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proofErr w:type="gramEnd"/>
      <w:r w:rsidRPr="00EF18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часова.</w:t>
      </w:r>
    </w:p>
    <w:p w:rsidR="0026696E" w:rsidRPr="0026696E" w:rsidRDefault="0026696E" w:rsidP="00DB23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p w:rsidR="00C43F52" w:rsidRDefault="00C43F52"/>
    <w:sectPr w:rsidR="00C43F52" w:rsidSect="00A9017A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1C" w:rsidRDefault="009C4B1C">
      <w:pPr>
        <w:spacing w:after="0" w:line="240" w:lineRule="auto"/>
      </w:pPr>
      <w:r>
        <w:separator/>
      </w:r>
    </w:p>
  </w:endnote>
  <w:endnote w:type="continuationSeparator" w:id="0">
    <w:p w:rsidR="009C4B1C" w:rsidRDefault="009C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1C" w:rsidRDefault="009C4B1C">
      <w:pPr>
        <w:spacing w:after="0" w:line="240" w:lineRule="auto"/>
      </w:pPr>
      <w:r>
        <w:separator/>
      </w:r>
    </w:p>
  </w:footnote>
  <w:footnote w:type="continuationSeparator" w:id="0">
    <w:p w:rsidR="009C4B1C" w:rsidRDefault="009C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0D16" w:rsidRDefault="00DB23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3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90D16" w:rsidRDefault="009C4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6E"/>
    <w:rsid w:val="00033943"/>
    <w:rsid w:val="000A6F48"/>
    <w:rsid w:val="000B2FE4"/>
    <w:rsid w:val="000C020D"/>
    <w:rsid w:val="001B38E3"/>
    <w:rsid w:val="001B6658"/>
    <w:rsid w:val="0026696E"/>
    <w:rsid w:val="002D5F5E"/>
    <w:rsid w:val="002E3B15"/>
    <w:rsid w:val="003674E6"/>
    <w:rsid w:val="003860AF"/>
    <w:rsid w:val="003C2D21"/>
    <w:rsid w:val="003D6650"/>
    <w:rsid w:val="003D7ED6"/>
    <w:rsid w:val="003F4A8F"/>
    <w:rsid w:val="004B1AE3"/>
    <w:rsid w:val="004B529A"/>
    <w:rsid w:val="00564CBE"/>
    <w:rsid w:val="00573B78"/>
    <w:rsid w:val="005D4FD4"/>
    <w:rsid w:val="006103C0"/>
    <w:rsid w:val="00672273"/>
    <w:rsid w:val="00693974"/>
    <w:rsid w:val="006D0B22"/>
    <w:rsid w:val="007663E2"/>
    <w:rsid w:val="00787C54"/>
    <w:rsid w:val="00810B75"/>
    <w:rsid w:val="00847569"/>
    <w:rsid w:val="00867787"/>
    <w:rsid w:val="0088149C"/>
    <w:rsid w:val="008B5D0D"/>
    <w:rsid w:val="008B7336"/>
    <w:rsid w:val="008F1BAC"/>
    <w:rsid w:val="00984441"/>
    <w:rsid w:val="00994C2B"/>
    <w:rsid w:val="009A3642"/>
    <w:rsid w:val="009C4B1C"/>
    <w:rsid w:val="00A33A50"/>
    <w:rsid w:val="00A531EF"/>
    <w:rsid w:val="00A969ED"/>
    <w:rsid w:val="00B133FD"/>
    <w:rsid w:val="00B36DDF"/>
    <w:rsid w:val="00B82811"/>
    <w:rsid w:val="00B864EC"/>
    <w:rsid w:val="00BE46B1"/>
    <w:rsid w:val="00C43F52"/>
    <w:rsid w:val="00DA73AC"/>
    <w:rsid w:val="00DB2398"/>
    <w:rsid w:val="00E71316"/>
    <w:rsid w:val="00E803CE"/>
    <w:rsid w:val="00EA4799"/>
    <w:rsid w:val="00EC6101"/>
    <w:rsid w:val="00EC745F"/>
    <w:rsid w:val="00EF184E"/>
    <w:rsid w:val="00F06481"/>
    <w:rsid w:val="00F07E6B"/>
    <w:rsid w:val="00F932A4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696E"/>
  </w:style>
  <w:style w:type="paragraph" w:styleId="ListParagraph">
    <w:name w:val="List Paragraph"/>
    <w:basedOn w:val="Normal"/>
    <w:uiPriority w:val="34"/>
    <w:qFormat/>
    <w:rsid w:val="00266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6E"/>
    <w:pPr>
      <w:tabs>
        <w:tab w:val="left" w:pos="1440"/>
      </w:tabs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6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6696E"/>
  </w:style>
  <w:style w:type="paragraph" w:styleId="ListParagraph">
    <w:name w:val="List Paragraph"/>
    <w:basedOn w:val="Normal"/>
    <w:uiPriority w:val="34"/>
    <w:qFormat/>
    <w:rsid w:val="002669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6696E"/>
    <w:pPr>
      <w:tabs>
        <w:tab w:val="center" w:pos="468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6696E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96E"/>
    <w:pPr>
      <w:tabs>
        <w:tab w:val="left" w:pos="1440"/>
      </w:tabs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9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2016-11-18T10:49:00Z</dcterms:created>
  <dcterms:modified xsi:type="dcterms:W3CDTF">2016-11-18T10:49:00Z</dcterms:modified>
</cp:coreProperties>
</file>